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0E7" w:rsidRPr="001710E7" w:rsidRDefault="001710E7" w:rsidP="001710E7">
      <w:pPr>
        <w:spacing w:before="100" w:beforeAutospacing="1" w:after="100" w:afterAutospacing="1" w:line="240" w:lineRule="auto"/>
        <w:rPr>
          <w:rStyle w:val="Emphasis"/>
          <w:lang w:eastAsia="tr-TR"/>
        </w:rPr>
      </w:pPr>
      <w:r w:rsidRPr="001710E7">
        <w:rPr>
          <w:rStyle w:val="Emphasis"/>
          <w:lang w:eastAsia="tr-TR"/>
        </w:rPr>
        <w:t xml:space="preserve">Hava Kalitesi İndeksi (HKİ): Azot dioksit (NO2)      </w:t>
      </w:r>
    </w:p>
    <w:tbl>
      <w:tblPr>
        <w:tblW w:w="8970" w:type="dxa"/>
        <w:tblCellMar>
          <w:left w:w="0" w:type="dxa"/>
          <w:right w:w="0" w:type="dxa"/>
        </w:tblCellMar>
        <w:tblLook w:val="04A0"/>
      </w:tblPr>
      <w:tblGrid>
        <w:gridCol w:w="1252"/>
        <w:gridCol w:w="2318"/>
        <w:gridCol w:w="5400"/>
      </w:tblGrid>
      <w:tr w:rsidR="001710E7" w:rsidRPr="001710E7" w:rsidTr="001710E7">
        <w:tc>
          <w:tcPr>
            <w:tcW w:w="1252" w:type="dxa"/>
            <w:tcBorders>
              <w:top w:val="threeDEmboss" w:sz="12" w:space="0" w:color="FFFFFF"/>
              <w:left w:val="threeDEmboss" w:sz="12" w:space="0" w:color="FFFFFF"/>
              <w:bottom w:val="threeDEmboss" w:sz="12" w:space="0" w:color="FFFFFF"/>
              <w:right w:val="threeDEmboss" w:sz="12" w:space="0" w:color="FFFFFF"/>
            </w:tcBorders>
            <w:shd w:val="clear" w:color="auto" w:fill="00008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br/>
              <w:t>İndeks</w:t>
            </w:r>
          </w:p>
        </w:tc>
        <w:tc>
          <w:tcPr>
            <w:tcW w:w="2318" w:type="dxa"/>
            <w:tcBorders>
              <w:top w:val="threeDEmboss" w:sz="12" w:space="0" w:color="auto"/>
              <w:left w:val="nil"/>
              <w:bottom w:val="threeDEmboss" w:sz="12" w:space="0" w:color="auto"/>
              <w:right w:val="threeDEmboss" w:sz="12" w:space="0" w:color="auto"/>
            </w:tcBorders>
            <w:shd w:val="clear" w:color="auto" w:fill="00008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br/>
              <w:t>Sağlık Seviyesi</w:t>
            </w:r>
          </w:p>
        </w:tc>
        <w:tc>
          <w:tcPr>
            <w:tcW w:w="5400" w:type="dxa"/>
            <w:tcBorders>
              <w:top w:val="threeDEmboss" w:sz="12" w:space="0" w:color="auto"/>
              <w:left w:val="nil"/>
              <w:bottom w:val="threeDEmboss" w:sz="12" w:space="0" w:color="auto"/>
              <w:right w:val="threeDEmboss" w:sz="12" w:space="0" w:color="auto"/>
            </w:tcBorders>
            <w:shd w:val="clear" w:color="auto" w:fill="00008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br/>
              <w:t>Uyarılar</w:t>
            </w:r>
          </w:p>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 </w:t>
            </w:r>
          </w:p>
        </w:tc>
      </w:tr>
      <w:tr w:rsidR="001710E7" w:rsidRPr="001710E7" w:rsidTr="001710E7">
        <w:trPr>
          <w:trHeight w:val="416"/>
        </w:trPr>
        <w:tc>
          <w:tcPr>
            <w:tcW w:w="1252" w:type="dxa"/>
            <w:tcBorders>
              <w:top w:val="nil"/>
              <w:left w:val="threeDEmboss" w:sz="12" w:space="0" w:color="auto"/>
              <w:bottom w:val="threeDEmboss" w:sz="12" w:space="0" w:color="auto"/>
              <w:right w:val="threeDEmboss" w:sz="12" w:space="0" w:color="auto"/>
            </w:tcBorders>
            <w:shd w:val="clear" w:color="auto" w:fill="00FF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0-50</w:t>
            </w:r>
          </w:p>
        </w:tc>
        <w:tc>
          <w:tcPr>
            <w:tcW w:w="2318" w:type="dxa"/>
            <w:tcBorders>
              <w:top w:val="nil"/>
              <w:left w:val="nil"/>
              <w:bottom w:val="threeDEmboss" w:sz="12" w:space="0" w:color="auto"/>
              <w:right w:val="threeDEmboss" w:sz="12" w:space="0" w:color="auto"/>
            </w:tcBorders>
            <w:shd w:val="clear" w:color="auto" w:fill="00FF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İyi</w:t>
            </w:r>
          </w:p>
        </w:tc>
        <w:tc>
          <w:tcPr>
            <w:tcW w:w="5400" w:type="dxa"/>
            <w:tcBorders>
              <w:top w:val="nil"/>
              <w:left w:val="nil"/>
              <w:bottom w:val="threeDEmboss" w:sz="12" w:space="0" w:color="auto"/>
              <w:right w:val="threeDEmboss" w:sz="12" w:space="0" w:color="auto"/>
            </w:tcBorders>
            <w:shd w:val="clear" w:color="auto" w:fill="00FF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Yok</w:t>
            </w:r>
          </w:p>
        </w:tc>
      </w:tr>
      <w:tr w:rsidR="001710E7" w:rsidRPr="001710E7" w:rsidTr="001710E7">
        <w:trPr>
          <w:trHeight w:val="422"/>
        </w:trPr>
        <w:tc>
          <w:tcPr>
            <w:tcW w:w="1252" w:type="dxa"/>
            <w:tcBorders>
              <w:top w:val="nil"/>
              <w:left w:val="threeDEmboss" w:sz="12" w:space="0" w:color="auto"/>
              <w:bottom w:val="threeDEmboss" w:sz="12" w:space="0" w:color="auto"/>
              <w:right w:val="threeDEmboss" w:sz="12" w:space="0" w:color="auto"/>
            </w:tcBorders>
            <w:shd w:val="clear" w:color="auto" w:fill="FFFF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51-100*</w:t>
            </w:r>
          </w:p>
        </w:tc>
        <w:tc>
          <w:tcPr>
            <w:tcW w:w="2318" w:type="dxa"/>
            <w:tcBorders>
              <w:top w:val="nil"/>
              <w:left w:val="nil"/>
              <w:bottom w:val="threeDEmboss" w:sz="12" w:space="0" w:color="auto"/>
              <w:right w:val="threeDEmboss" w:sz="12" w:space="0" w:color="auto"/>
            </w:tcBorders>
            <w:shd w:val="clear" w:color="auto" w:fill="FFFF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Orta</w:t>
            </w:r>
          </w:p>
        </w:tc>
        <w:tc>
          <w:tcPr>
            <w:tcW w:w="5400" w:type="dxa"/>
            <w:tcBorders>
              <w:top w:val="nil"/>
              <w:left w:val="nil"/>
              <w:bottom w:val="threeDEmboss" w:sz="12" w:space="0" w:color="auto"/>
              <w:right w:val="threeDEmboss" w:sz="12" w:space="0" w:color="auto"/>
            </w:tcBorders>
            <w:shd w:val="clear" w:color="auto" w:fill="FFFF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Yok</w:t>
            </w:r>
          </w:p>
        </w:tc>
      </w:tr>
      <w:tr w:rsidR="001710E7" w:rsidRPr="001710E7" w:rsidTr="001710E7">
        <w:tc>
          <w:tcPr>
            <w:tcW w:w="1252" w:type="dxa"/>
            <w:tcBorders>
              <w:top w:val="nil"/>
              <w:left w:val="threeDEmboss" w:sz="12" w:space="0" w:color="auto"/>
              <w:bottom w:val="threeDEmboss" w:sz="12" w:space="0" w:color="auto"/>
              <w:right w:val="threeDEmboss" w:sz="12" w:space="0" w:color="auto"/>
            </w:tcBorders>
            <w:shd w:val="clear" w:color="auto" w:fill="FCA902"/>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101-150</w:t>
            </w:r>
          </w:p>
        </w:tc>
        <w:tc>
          <w:tcPr>
            <w:tcW w:w="2318" w:type="dxa"/>
            <w:tcBorders>
              <w:top w:val="nil"/>
              <w:left w:val="nil"/>
              <w:bottom w:val="threeDEmboss" w:sz="12" w:space="0" w:color="auto"/>
              <w:right w:val="threeDEmboss" w:sz="12" w:space="0" w:color="auto"/>
            </w:tcBorders>
            <w:shd w:val="clear" w:color="auto" w:fill="FCA902"/>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Hassas gruplar için sağlıksız</w:t>
            </w:r>
          </w:p>
        </w:tc>
        <w:tc>
          <w:tcPr>
            <w:tcW w:w="5400" w:type="dxa"/>
            <w:tcBorders>
              <w:top w:val="nil"/>
              <w:left w:val="nil"/>
              <w:bottom w:val="threeDEmboss" w:sz="12" w:space="0" w:color="auto"/>
              <w:right w:val="threeDEmboss" w:sz="12" w:space="0" w:color="auto"/>
            </w:tcBorders>
            <w:shd w:val="clear" w:color="auto" w:fill="FCA902"/>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Yok.</w:t>
            </w:r>
          </w:p>
        </w:tc>
      </w:tr>
      <w:tr w:rsidR="001710E7" w:rsidRPr="001710E7" w:rsidTr="001710E7">
        <w:trPr>
          <w:trHeight w:val="404"/>
        </w:trPr>
        <w:tc>
          <w:tcPr>
            <w:tcW w:w="1252" w:type="dxa"/>
            <w:tcBorders>
              <w:top w:val="nil"/>
              <w:left w:val="threeDEmboss" w:sz="12" w:space="0" w:color="auto"/>
              <w:bottom w:val="threeDEmboss" w:sz="12" w:space="0" w:color="auto"/>
              <w:right w:val="threeDEmboss" w:sz="12" w:space="0" w:color="auto"/>
            </w:tcBorders>
            <w:shd w:val="clear" w:color="auto" w:fill="FF00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151-200</w:t>
            </w:r>
          </w:p>
        </w:tc>
        <w:tc>
          <w:tcPr>
            <w:tcW w:w="2318" w:type="dxa"/>
            <w:tcBorders>
              <w:top w:val="nil"/>
              <w:left w:val="nil"/>
              <w:bottom w:val="threeDEmboss" w:sz="12" w:space="0" w:color="auto"/>
              <w:right w:val="threeDEmboss" w:sz="12" w:space="0" w:color="auto"/>
            </w:tcBorders>
            <w:shd w:val="clear" w:color="auto" w:fill="FF00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Sağlıksız</w:t>
            </w:r>
          </w:p>
        </w:tc>
        <w:tc>
          <w:tcPr>
            <w:tcW w:w="5400" w:type="dxa"/>
            <w:tcBorders>
              <w:top w:val="nil"/>
              <w:left w:val="nil"/>
              <w:bottom w:val="threeDEmboss" w:sz="12" w:space="0" w:color="auto"/>
              <w:right w:val="threeDEmboss" w:sz="12" w:space="0" w:color="auto"/>
            </w:tcBorders>
            <w:shd w:val="clear" w:color="auto" w:fill="FF00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Yok</w:t>
            </w:r>
          </w:p>
        </w:tc>
      </w:tr>
      <w:tr w:rsidR="001710E7" w:rsidRPr="001710E7" w:rsidTr="001710E7">
        <w:trPr>
          <w:trHeight w:val="393"/>
        </w:trPr>
        <w:tc>
          <w:tcPr>
            <w:tcW w:w="1252" w:type="dxa"/>
            <w:tcBorders>
              <w:top w:val="nil"/>
              <w:left w:val="threeDEmboss" w:sz="12" w:space="0" w:color="auto"/>
              <w:bottom w:val="threeDEmboss" w:sz="12" w:space="0" w:color="auto"/>
              <w:right w:val="threeDEmboss" w:sz="12" w:space="0" w:color="auto"/>
            </w:tcBorders>
            <w:shd w:val="clear" w:color="auto" w:fill="FF00FF"/>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201-300*</w:t>
            </w:r>
          </w:p>
        </w:tc>
        <w:tc>
          <w:tcPr>
            <w:tcW w:w="2318" w:type="dxa"/>
            <w:tcBorders>
              <w:top w:val="nil"/>
              <w:left w:val="nil"/>
              <w:bottom w:val="threeDEmboss" w:sz="12" w:space="0" w:color="auto"/>
              <w:right w:val="threeDEmboss" w:sz="12" w:space="0" w:color="auto"/>
            </w:tcBorders>
            <w:shd w:val="clear" w:color="auto" w:fill="FF00FF"/>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Çok Sağlıksız</w:t>
            </w:r>
          </w:p>
        </w:tc>
        <w:tc>
          <w:tcPr>
            <w:tcW w:w="5400" w:type="dxa"/>
            <w:tcBorders>
              <w:top w:val="nil"/>
              <w:left w:val="nil"/>
              <w:bottom w:val="threeDEmboss" w:sz="12" w:space="0" w:color="auto"/>
              <w:right w:val="threeDEmboss" w:sz="12" w:space="0" w:color="auto"/>
            </w:tcBorders>
            <w:shd w:val="clear" w:color="auto" w:fill="FF00FF"/>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Çocuklar ve astım gibi solunum hastalığı olan kişiler; dış ortamdaki ağır efor sarfını sınırlandırmalıdır.</w:t>
            </w:r>
          </w:p>
        </w:tc>
      </w:tr>
      <w:tr w:rsidR="001710E7" w:rsidRPr="001710E7" w:rsidTr="001710E7">
        <w:trPr>
          <w:trHeight w:val="398"/>
        </w:trPr>
        <w:tc>
          <w:tcPr>
            <w:tcW w:w="1252" w:type="dxa"/>
            <w:tcBorders>
              <w:top w:val="nil"/>
              <w:left w:val="threeDEmboss" w:sz="12" w:space="0" w:color="auto"/>
              <w:bottom w:val="threeDEmboss" w:sz="12" w:space="0" w:color="auto"/>
              <w:right w:val="threeDEmboss" w:sz="12" w:space="0" w:color="auto"/>
            </w:tcBorders>
            <w:shd w:val="clear" w:color="auto" w:fill="9933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301-500</w:t>
            </w:r>
          </w:p>
        </w:tc>
        <w:tc>
          <w:tcPr>
            <w:tcW w:w="2318" w:type="dxa"/>
            <w:tcBorders>
              <w:top w:val="nil"/>
              <w:left w:val="nil"/>
              <w:bottom w:val="threeDEmboss" w:sz="12" w:space="0" w:color="auto"/>
              <w:right w:val="threeDEmboss" w:sz="12" w:space="0" w:color="auto"/>
            </w:tcBorders>
            <w:shd w:val="clear" w:color="auto" w:fill="9933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Tehlikeli</w:t>
            </w:r>
          </w:p>
        </w:tc>
        <w:tc>
          <w:tcPr>
            <w:tcW w:w="5400" w:type="dxa"/>
            <w:tcBorders>
              <w:top w:val="nil"/>
              <w:left w:val="nil"/>
              <w:bottom w:val="threeDEmboss" w:sz="12" w:space="0" w:color="auto"/>
              <w:right w:val="threeDEmboss" w:sz="12" w:space="0" w:color="auto"/>
            </w:tcBorders>
            <w:shd w:val="clear" w:color="auto" w:fill="993300"/>
            <w:tcMar>
              <w:top w:w="0" w:type="dxa"/>
              <w:left w:w="70" w:type="dxa"/>
              <w:bottom w:w="0" w:type="dxa"/>
              <w:right w:w="70" w:type="dxa"/>
            </w:tcMar>
            <w:hideMark/>
          </w:tcPr>
          <w:p w:rsidR="001710E7" w:rsidRPr="001710E7" w:rsidRDefault="001710E7" w:rsidP="001710E7">
            <w:pPr>
              <w:spacing w:before="100" w:beforeAutospacing="1" w:after="100" w:afterAutospacing="1" w:line="240" w:lineRule="auto"/>
              <w:jc w:val="center"/>
              <w:rPr>
                <w:rStyle w:val="Emphasis"/>
                <w:lang w:eastAsia="tr-TR"/>
              </w:rPr>
            </w:pPr>
            <w:r w:rsidRPr="001710E7">
              <w:rPr>
                <w:rStyle w:val="Emphasis"/>
                <w:lang w:eastAsia="tr-TR"/>
              </w:rPr>
              <w:t>Çocuklar ve astım gibi solunum hastalığı olan kişiler;   dış ortamdaki orta düzeyde veya ağır efor sarfını sınırlandırmalıdır.</w:t>
            </w:r>
          </w:p>
        </w:tc>
      </w:tr>
    </w:tbl>
    <w:p w:rsidR="001710E7" w:rsidRPr="001710E7" w:rsidRDefault="001710E7" w:rsidP="001710E7">
      <w:pPr>
        <w:spacing w:before="100" w:beforeAutospacing="1" w:after="100" w:afterAutospacing="1" w:line="240" w:lineRule="auto"/>
        <w:jc w:val="both"/>
        <w:rPr>
          <w:rStyle w:val="Emphasis"/>
          <w:lang w:eastAsia="tr-TR"/>
        </w:rPr>
      </w:pPr>
      <w:r w:rsidRPr="001710E7">
        <w:rPr>
          <w:rStyle w:val="Emphasis"/>
          <w:lang w:eastAsia="tr-TR"/>
        </w:rPr>
        <w:t>* NO2nin kısa süreli sağlık etkileri, HKİ değeri  200ün üzerine çıkıncaya kadar oluşmaz. Bu nedenle, HKİ, NO2 için 201in altında hesaplanmaz. NO2 için HKİnin 201 olması, 1242 µg/m3 (0.65ppm). NO2 seviyesine karşılık gelir. (ortalama 24 saat)</w:t>
      </w:r>
    </w:p>
    <w:p w:rsidR="001710E7" w:rsidRPr="001710E7" w:rsidRDefault="001710E7" w:rsidP="001710E7">
      <w:pPr>
        <w:spacing w:before="100" w:beforeAutospacing="1" w:after="100" w:afterAutospacing="1" w:line="240" w:lineRule="auto"/>
        <w:jc w:val="both"/>
        <w:rPr>
          <w:rStyle w:val="Emphasis"/>
          <w:lang w:eastAsia="tr-TR"/>
        </w:rPr>
      </w:pPr>
      <w:r w:rsidRPr="001710E7">
        <w:rPr>
          <w:rStyle w:val="Emphasis"/>
          <w:lang w:eastAsia="tr-TR"/>
        </w:rPr>
        <w:t>Azot dioksit (NO2) Nedir?</w:t>
      </w:r>
    </w:p>
    <w:p w:rsidR="001710E7" w:rsidRPr="001710E7" w:rsidRDefault="001710E7" w:rsidP="001710E7">
      <w:pPr>
        <w:spacing w:before="100" w:beforeAutospacing="1" w:after="100" w:afterAutospacing="1" w:line="240" w:lineRule="auto"/>
        <w:jc w:val="both"/>
        <w:rPr>
          <w:rStyle w:val="Emphasis"/>
          <w:lang w:eastAsia="tr-TR"/>
        </w:rPr>
      </w:pPr>
      <w:r w:rsidRPr="001710E7">
        <w:rPr>
          <w:rStyle w:val="Emphasis"/>
          <w:lang w:eastAsia="tr-TR"/>
        </w:rPr>
        <w:t>NO2, kırmızımsı kahverengi renklidir. Azot monoksit (NO) atmosferde oksijen ile birleştiğinde yüksek oranda reaktif gaz formunda NO2 oluşur. Bir kere oluştuktan sonra NO2, VOC gibi diğer kirleticilerle reaksiyona girer. Bu reaksiyonlar sonucunda, yer seviyesinde ozon oluşmasına neden olur. Ana kaynaklar, motorlu taşıt araçları ve termik santrallerdir.</w:t>
      </w:r>
    </w:p>
    <w:p w:rsidR="001710E7" w:rsidRPr="001710E7" w:rsidRDefault="001710E7" w:rsidP="001710E7">
      <w:pPr>
        <w:spacing w:before="100" w:beforeAutospacing="1" w:after="100" w:afterAutospacing="1" w:line="240" w:lineRule="auto"/>
        <w:jc w:val="both"/>
        <w:rPr>
          <w:rStyle w:val="Emphasis"/>
          <w:lang w:eastAsia="tr-TR"/>
        </w:rPr>
      </w:pPr>
      <w:r w:rsidRPr="001710E7">
        <w:rPr>
          <w:rStyle w:val="Emphasis"/>
          <w:lang w:eastAsia="tr-TR"/>
        </w:rPr>
        <w:t>Sağlık etkileri ve en riskli gruplar</w:t>
      </w:r>
    </w:p>
    <w:p w:rsidR="001710E7" w:rsidRDefault="001710E7" w:rsidP="001710E7">
      <w:pPr>
        <w:pStyle w:val="ListParagraph"/>
        <w:numPr>
          <w:ilvl w:val="0"/>
          <w:numId w:val="1"/>
        </w:numPr>
        <w:spacing w:before="100" w:beforeAutospacing="1" w:after="100" w:afterAutospacing="1" w:line="240" w:lineRule="auto"/>
        <w:jc w:val="both"/>
        <w:rPr>
          <w:rStyle w:val="Emphasis"/>
          <w:lang w:eastAsia="tr-TR"/>
        </w:rPr>
      </w:pPr>
      <w:r w:rsidRPr="001710E7">
        <w:rPr>
          <w:rStyle w:val="Emphasis"/>
          <w:lang w:eastAsia="tr-TR"/>
        </w:rPr>
        <w:t>NO2, astım gibi solunum hastalığı olan yetişkinler ve çocuklarda; öksürük, hırıltılı solunum ve kesik nefes alma gibi solunum belirtilerine neden olabilir. NO2ye kısa süreli maruziyet dahi akciğer fonksiyonunu etkiler.</w:t>
      </w:r>
    </w:p>
    <w:p w:rsidR="001710E7" w:rsidRDefault="001710E7" w:rsidP="001710E7">
      <w:pPr>
        <w:pStyle w:val="ListParagraph"/>
        <w:numPr>
          <w:ilvl w:val="0"/>
          <w:numId w:val="1"/>
        </w:numPr>
        <w:spacing w:before="100" w:beforeAutospacing="1" w:after="100" w:afterAutospacing="1" w:line="240" w:lineRule="auto"/>
        <w:jc w:val="both"/>
        <w:rPr>
          <w:rStyle w:val="Emphasis"/>
          <w:lang w:eastAsia="tr-TR"/>
        </w:rPr>
      </w:pPr>
      <w:r w:rsidRPr="001710E7">
        <w:rPr>
          <w:rStyle w:val="Emphasis"/>
          <w:lang w:eastAsia="tr-TR"/>
        </w:rPr>
        <w:t>Çocuklarda, kısa süreli maruziyet solunum hastalığı riskini artırabilir.</w:t>
      </w:r>
    </w:p>
    <w:p w:rsidR="001710E7" w:rsidRPr="001710E7" w:rsidRDefault="001710E7" w:rsidP="001710E7">
      <w:pPr>
        <w:pStyle w:val="ListParagraph"/>
        <w:numPr>
          <w:ilvl w:val="0"/>
          <w:numId w:val="1"/>
        </w:numPr>
        <w:spacing w:before="100" w:beforeAutospacing="1" w:after="100" w:afterAutospacing="1" w:line="240" w:lineRule="auto"/>
        <w:jc w:val="both"/>
        <w:rPr>
          <w:rStyle w:val="Emphasis"/>
          <w:lang w:eastAsia="tr-TR"/>
        </w:rPr>
      </w:pPr>
      <w:r w:rsidRPr="001710E7">
        <w:rPr>
          <w:rStyle w:val="Emphasis"/>
          <w:lang w:eastAsia="tr-TR"/>
        </w:rPr>
        <w:t>Hayvan deneyi çalışmaları, NO2ye uzun süreli maruziyetin solunum enfeksiyonlarına hassasiyeti artırdığını ve akciğerlerde kalıcı yapısal değişikliklere sebep olabildiğini göstermektedir.</w:t>
      </w:r>
    </w:p>
    <w:p w:rsidR="00C71E88" w:rsidRDefault="00C71E88">
      <w:pPr>
        <w:rPr>
          <w:rStyle w:val="Emphasis"/>
        </w:rPr>
      </w:pPr>
    </w:p>
    <w:p w:rsidR="001710E7" w:rsidRPr="001710E7" w:rsidRDefault="001710E7">
      <w:pPr>
        <w:rPr>
          <w:rStyle w:val="Emphasis"/>
        </w:rPr>
      </w:pPr>
      <w:r>
        <w:rPr>
          <w:rStyle w:val="Emphasis"/>
        </w:rPr>
        <w:t>Refik Saydam Hıfzısıhha</w:t>
      </w:r>
    </w:p>
    <w:sectPr w:rsidR="001710E7" w:rsidRPr="001710E7" w:rsidSect="00C71E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64740"/>
    <w:multiLevelType w:val="hybridMultilevel"/>
    <w:tmpl w:val="539A8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compat/>
  <w:rsids>
    <w:rsidRoot w:val="001710E7"/>
    <w:rsid w:val="001710E7"/>
    <w:rsid w:val="00C71E8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E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710E7"/>
    <w:rPr>
      <w:b/>
      <w:bCs/>
    </w:rPr>
  </w:style>
  <w:style w:type="paragraph" w:styleId="BodyText3">
    <w:name w:val="Body Text 3"/>
    <w:basedOn w:val="Normal"/>
    <w:link w:val="BodyText3Char"/>
    <w:uiPriority w:val="99"/>
    <w:semiHidden/>
    <w:unhideWhenUsed/>
    <w:rsid w:val="001710E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odyText3Char">
    <w:name w:val="Body Text 3 Char"/>
    <w:basedOn w:val="DefaultParagraphFont"/>
    <w:link w:val="BodyText3"/>
    <w:uiPriority w:val="99"/>
    <w:semiHidden/>
    <w:rsid w:val="001710E7"/>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171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10E7"/>
    <w:rPr>
      <w:rFonts w:ascii="Tahoma" w:hAnsi="Tahoma" w:cs="Tahoma"/>
      <w:sz w:val="16"/>
      <w:szCs w:val="16"/>
    </w:rPr>
  </w:style>
  <w:style w:type="character" w:styleId="Emphasis">
    <w:name w:val="Emphasis"/>
    <w:basedOn w:val="DefaultParagraphFont"/>
    <w:uiPriority w:val="20"/>
    <w:qFormat/>
    <w:rsid w:val="001710E7"/>
    <w:rPr>
      <w:i/>
      <w:iCs/>
    </w:rPr>
  </w:style>
  <w:style w:type="paragraph" w:styleId="ListParagraph">
    <w:name w:val="List Paragraph"/>
    <w:basedOn w:val="Normal"/>
    <w:uiPriority w:val="34"/>
    <w:qFormat/>
    <w:rsid w:val="001710E7"/>
    <w:pPr>
      <w:ind w:left="720"/>
      <w:contextualSpacing/>
    </w:pPr>
  </w:style>
</w:styles>
</file>

<file path=word/webSettings.xml><?xml version="1.0" encoding="utf-8"?>
<w:webSettings xmlns:r="http://schemas.openxmlformats.org/officeDocument/2006/relationships" xmlns:w="http://schemas.openxmlformats.org/wordprocessingml/2006/main">
  <w:divs>
    <w:div w:id="57208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Words>
  <Characters>1388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Serhat Koçaker</dc:creator>
  <cp:lastModifiedBy>Serhat Koçaker</cp:lastModifiedBy>
  <cp:revision>2</cp:revision>
  <dcterms:created xsi:type="dcterms:W3CDTF">2008-04-10T22:33:00Z</dcterms:created>
  <dcterms:modified xsi:type="dcterms:W3CDTF">2008-04-10T22:35:00Z</dcterms:modified>
</cp:coreProperties>
</file>